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9" w:rsidRPr="00B83167" w:rsidRDefault="001F78A9" w:rsidP="001F78A9">
      <w:pPr>
        <w:rPr>
          <w:rFonts w:ascii="Arial" w:hAnsi="Arial" w:cs="Arial"/>
          <w:sz w:val="22"/>
          <w:szCs w:val="22"/>
          <w:lang w:val="en-US"/>
        </w:rPr>
      </w:pPr>
      <w:r>
        <w:rPr>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Pr>
          <w:rFonts w:ascii="Arial" w:hAnsi="Arial" w:cs="Arial"/>
          <w:sz w:val="22"/>
          <w:szCs w:val="22"/>
          <w:lang w:val="en-US"/>
        </w:rPr>
        <w:t xml:space="preserve">                         </w:t>
      </w:r>
      <w:r w:rsidRPr="00B83167">
        <w:rPr>
          <w:rFonts w:ascii="Arial" w:hAnsi="Arial" w:cs="Arial"/>
          <w:sz w:val="22"/>
          <w:szCs w:val="22"/>
          <w:lang w:val="en-US"/>
        </w:rPr>
        <w:t>SBD 6.2</w:t>
      </w:r>
    </w:p>
    <w:p w:rsidR="001F78A9" w:rsidRPr="00B83167" w:rsidRDefault="001F78A9" w:rsidP="001F78A9">
      <w:pPr>
        <w:rPr>
          <w:rFonts w:ascii="Arial" w:hAnsi="Arial" w:cs="Arial"/>
          <w:sz w:val="22"/>
          <w:szCs w:val="22"/>
          <w:lang w:val="en-US"/>
        </w:rPr>
      </w:pPr>
    </w:p>
    <w:p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rsidR="001F78A9" w:rsidRPr="00B83167" w:rsidRDefault="001F78A9" w:rsidP="001F78A9">
      <w:pPr>
        <w:jc w:val="center"/>
        <w:rPr>
          <w:rFonts w:ascii="Arial" w:hAnsi="Arial" w:cs="Arial"/>
          <w:sz w:val="22"/>
          <w:szCs w:val="22"/>
          <w:lang w:val="en-US"/>
        </w:rPr>
      </w:pPr>
    </w:p>
    <w:p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1F78A9" w:rsidRPr="00B83167" w:rsidRDefault="001F78A9" w:rsidP="001F78A9">
      <w:pPr>
        <w:ind w:left="360"/>
        <w:jc w:val="both"/>
        <w:rPr>
          <w:rFonts w:ascii="Arial" w:hAnsi="Arial" w:cs="Arial"/>
          <w:sz w:val="22"/>
          <w:szCs w:val="22"/>
          <w:lang w:val="en-US"/>
        </w:rPr>
      </w:pPr>
    </w:p>
    <w:p w:rsidR="001F78A9" w:rsidRDefault="001F78A9" w:rsidP="001F78A9">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Default="001F78A9" w:rsidP="001F78A9">
      <w:pPr>
        <w:ind w:left="360"/>
        <w:jc w:val="both"/>
        <w:rPr>
          <w:rFonts w:ascii="Arial" w:hAnsi="Arial" w:cs="Arial"/>
          <w:sz w:val="22"/>
          <w:szCs w:val="22"/>
          <w:lang w:val="en-US"/>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r w:rsidR="00FA192A">
        <w:rPr>
          <w:rFonts w:ascii="Arial" w:hAnsi="Arial" w:cs="Arial"/>
          <w:sz w:val="22"/>
          <w:szCs w:val="22"/>
          <w:lang w:val="en-US"/>
        </w:rPr>
        <w:t xml:space="preserve"> </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1F78A9" w:rsidRPr="00B83167" w:rsidRDefault="001F78A9" w:rsidP="001F78A9">
      <w:pPr>
        <w:ind w:left="720" w:hanging="720"/>
        <w:jc w:val="both"/>
        <w:rPr>
          <w:rFonts w:ascii="Arial" w:hAnsi="Arial" w:cs="Arial"/>
          <w:bCs/>
          <w:sz w:val="22"/>
          <w:szCs w:val="22"/>
        </w:rPr>
      </w:pPr>
    </w:p>
    <w:p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1506426D" wp14:editId="1506426E">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1F78A9" w:rsidRPr="00B83167"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1F78A9" w:rsidRPr="00B83167" w:rsidRDefault="001F78A9" w:rsidP="001F78A9">
      <w:pPr>
        <w:ind w:left="720" w:hanging="720"/>
        <w:jc w:val="both"/>
        <w:rPr>
          <w:rFonts w:ascii="Arial" w:hAnsi="Arial" w:cs="Arial"/>
          <w:bCs/>
          <w:sz w:val="22"/>
          <w:szCs w:val="22"/>
        </w:rPr>
      </w:pPr>
    </w:p>
    <w:p w:rsidR="001F78A9" w:rsidRDefault="001F78A9" w:rsidP="001F78A9">
      <w:pPr>
        <w:ind w:left="720"/>
        <w:jc w:val="both"/>
        <w:rPr>
          <w:rFonts w:ascii="Arial" w:hAnsi="Arial" w:cs="Arial"/>
          <w:bCs/>
          <w:sz w:val="22"/>
          <w:szCs w:val="22"/>
        </w:rPr>
      </w:pPr>
      <w:r w:rsidRPr="00B83167">
        <w:rPr>
          <w:rFonts w:ascii="Arial" w:hAnsi="Arial" w:cs="Arial"/>
          <w:bCs/>
          <w:sz w:val="22"/>
          <w:szCs w:val="22"/>
        </w:rPr>
        <w:t xml:space="preserve">Prices referred to in the determination of x must be converted to Rand (ZAR) by using the exchange rate published by South African Reserve Bank (SARB) </w:t>
      </w:r>
      <w:r>
        <w:rPr>
          <w:rFonts w:ascii="Arial" w:hAnsi="Arial" w:cs="Arial"/>
          <w:bCs/>
          <w:sz w:val="22"/>
          <w:szCs w:val="22"/>
        </w:rPr>
        <w:t>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4.1 below.</w:t>
      </w:r>
    </w:p>
    <w:p w:rsidR="001F78A9" w:rsidRDefault="001F78A9" w:rsidP="001F78A9">
      <w:pPr>
        <w:ind w:left="720"/>
        <w:jc w:val="both"/>
        <w:rPr>
          <w:rFonts w:ascii="Arial" w:hAnsi="Arial" w:cs="Arial"/>
          <w:bCs/>
          <w:sz w:val="22"/>
          <w:szCs w:val="22"/>
        </w:rPr>
      </w:pPr>
    </w:p>
    <w:p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p>
    <w:p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rsidR="001F78A9" w:rsidRPr="00F628F1" w:rsidRDefault="001F78A9" w:rsidP="001F78A9">
      <w:pPr>
        <w:ind w:left="1140"/>
        <w:jc w:val="both"/>
        <w:rPr>
          <w:rFonts w:ascii="Arial" w:hAnsi="Arial" w:cs="Arial"/>
          <w:sz w:val="22"/>
          <w:szCs w:val="22"/>
          <w:lang w:val="en-US"/>
        </w:rPr>
      </w:pPr>
    </w:p>
    <w:p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1F78A9" w:rsidRDefault="001F78A9" w:rsidP="001F78A9">
      <w:pPr>
        <w:ind w:left="502"/>
        <w:jc w:val="both"/>
        <w:rPr>
          <w:rFonts w:ascii="Arial" w:hAnsi="Arial" w:cs="Arial"/>
          <w:b/>
          <w:sz w:val="22"/>
          <w:szCs w:val="22"/>
          <w:lang w:val="en-US"/>
        </w:rPr>
      </w:pPr>
    </w:p>
    <w:p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rsidR="001F78A9" w:rsidRDefault="001F78A9" w:rsidP="001F78A9">
      <w:pPr>
        <w:rPr>
          <w:rFonts w:ascii="Arial" w:hAnsi="Arial" w:cs="Arial"/>
          <w:sz w:val="22"/>
          <w:szCs w:val="22"/>
          <w:lang w:val="en-US"/>
        </w:rPr>
      </w:pPr>
    </w:p>
    <w:p w:rsidR="001F78A9" w:rsidRDefault="00074952" w:rsidP="001F78A9">
      <w:pPr>
        <w:ind w:firstLine="502"/>
        <w:rPr>
          <w:rFonts w:ascii="Arial" w:hAnsi="Arial" w:cs="Arial"/>
          <w:sz w:val="22"/>
          <w:szCs w:val="22"/>
          <w:lang w:val="en-US"/>
        </w:rPr>
      </w:pPr>
      <w:r>
        <w:rPr>
          <w:rFonts w:ascii="Arial" w:hAnsi="Arial" w:cs="Arial"/>
          <w:sz w:val="22"/>
          <w:szCs w:val="22"/>
          <w:lang w:val="en-US"/>
        </w:rPr>
        <w:t>Pumps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70%</w:t>
      </w:r>
      <w:bookmarkStart w:id="0" w:name="_GoBack"/>
      <w:bookmarkEnd w:id="0"/>
    </w:p>
    <w:p w:rsidR="00193CFF" w:rsidRPr="00B83167" w:rsidRDefault="00193CFF" w:rsidP="001F78A9">
      <w:pPr>
        <w:ind w:firstLine="502"/>
        <w:rPr>
          <w:rFonts w:ascii="Arial" w:hAnsi="Arial" w:cs="Arial"/>
          <w:sz w:val="22"/>
          <w:szCs w:val="22"/>
          <w:lang w:val="en-US"/>
        </w:rPr>
      </w:pPr>
    </w:p>
    <w:p w:rsidR="001F78A9" w:rsidRPr="00B83167" w:rsidRDefault="00193CFF" w:rsidP="001F78A9">
      <w:pPr>
        <w:rPr>
          <w:rFonts w:ascii="Arial" w:hAnsi="Arial" w:cs="Arial"/>
          <w:sz w:val="22"/>
          <w:szCs w:val="22"/>
          <w:lang w:val="en-US"/>
        </w:rPr>
      </w:pPr>
      <w:r w:rsidRPr="00415C84">
        <w:rPr>
          <w:rFonts w:ascii="Arial" w:hAnsi="Arial" w:cs="Arial"/>
          <w:b/>
          <w:sz w:val="22"/>
          <w:szCs w:val="22"/>
          <w:lang w:val="en-US"/>
        </w:rPr>
        <w:t>3</w:t>
      </w:r>
      <w:r w:rsidR="001F78A9">
        <w:rPr>
          <w:rFonts w:ascii="Arial" w:hAnsi="Arial" w:cs="Arial"/>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445262">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ind w:left="360" w:hanging="360"/>
        <w:rPr>
          <w:rFonts w:ascii="Arial" w:hAnsi="Arial" w:cs="Arial"/>
          <w:sz w:val="22"/>
          <w:szCs w:val="22"/>
          <w:lang w:val="en-US"/>
        </w:rPr>
      </w:pPr>
    </w:p>
    <w:p w:rsidR="001F78A9" w:rsidRPr="00B83167" w:rsidRDefault="00193CFF"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at 12:00 on the date</w:t>
      </w:r>
      <w:r w:rsidR="001F78A9">
        <w:rPr>
          <w:rFonts w:ascii="Arial" w:hAnsi="Arial" w:cs="Arial"/>
          <w:bCs/>
          <w:sz w:val="22"/>
          <w:szCs w:val="22"/>
        </w:rPr>
        <w:t xml:space="preserve"> of advertisement of the bid.</w:t>
      </w:r>
    </w:p>
    <w:p w:rsidR="001F78A9" w:rsidRPr="00B83167" w:rsidRDefault="001F78A9" w:rsidP="001F78A9">
      <w:pPr>
        <w:ind w:left="720" w:hanging="360"/>
        <w:rPr>
          <w:rFonts w:ascii="Arial" w:hAnsi="Arial" w:cs="Arial"/>
          <w:bCs/>
          <w:sz w:val="22"/>
          <w:szCs w:val="22"/>
        </w:rPr>
      </w:pPr>
    </w:p>
    <w:p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2" w:history="1">
        <w:r w:rsidRPr="00D004DE">
          <w:rPr>
            <w:rStyle w:val="Hyperlink"/>
            <w:rFonts w:ascii="Arial" w:hAnsi="Arial" w:cs="Arial"/>
            <w:bCs/>
            <w:sz w:val="22"/>
            <w:szCs w:val="22"/>
          </w:rPr>
          <w:t>www.reservebank.co.za</w:t>
        </w:r>
      </w:hyperlink>
    </w:p>
    <w:p w:rsidR="001F78A9" w:rsidRDefault="001F78A9" w:rsidP="001F78A9">
      <w:pPr>
        <w:rPr>
          <w:rFonts w:ascii="Arial" w:hAnsi="Arial" w:cs="Arial"/>
          <w:b/>
          <w:bCs/>
          <w:sz w:val="22"/>
          <w:szCs w:val="22"/>
        </w:rPr>
      </w:pPr>
    </w:p>
    <w:p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rsidTr="00D004DE">
        <w:tc>
          <w:tcPr>
            <w:tcW w:w="3433"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1F78A9" w:rsidRPr="0088626B" w:rsidRDefault="001F78A9" w:rsidP="001F78A9">
            <w:pPr>
              <w:rPr>
                <w:rFonts w:ascii="Arial" w:hAnsi="Arial" w:cs="Arial"/>
                <w:sz w:val="22"/>
                <w:szCs w:val="22"/>
                <w:lang w:val="en-US"/>
              </w:rPr>
            </w:pPr>
          </w:p>
        </w:tc>
      </w:tr>
    </w:tbl>
    <w:p w:rsidR="001F78A9" w:rsidRPr="00B83167" w:rsidRDefault="001F78A9" w:rsidP="001F78A9">
      <w:pPr>
        <w:rPr>
          <w:rFonts w:ascii="Arial" w:hAnsi="Arial" w:cs="Arial"/>
          <w:sz w:val="22"/>
          <w:szCs w:val="22"/>
          <w:lang w:val="en-US"/>
        </w:rPr>
      </w:pPr>
    </w:p>
    <w:p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1F78A9" w:rsidRDefault="001F78A9" w:rsidP="001F78A9">
      <w:pPr>
        <w:rPr>
          <w:rFonts w:ascii="Arial" w:hAnsi="Arial" w:cs="Arial"/>
          <w:sz w:val="22"/>
          <w:szCs w:val="22"/>
          <w:lang w:val="en-US"/>
        </w:rPr>
      </w:pPr>
    </w:p>
    <w:p w:rsidR="001F78A9" w:rsidRDefault="00193CFF" w:rsidP="001F78A9">
      <w:pPr>
        <w:ind w:left="420" w:hanging="420"/>
        <w:jc w:val="both"/>
        <w:rPr>
          <w:rFonts w:ascii="Arial" w:hAnsi="Arial" w:cs="Arial"/>
          <w:bCs/>
          <w:sz w:val="22"/>
          <w:szCs w:val="22"/>
        </w:rPr>
      </w:pPr>
      <w:r w:rsidRPr="00415C84">
        <w:rPr>
          <w:rFonts w:ascii="Arial" w:hAnsi="Arial" w:cs="Arial"/>
          <w:b/>
          <w:sz w:val="22"/>
          <w:szCs w:val="22"/>
          <w:lang w:val="en-US"/>
        </w:rPr>
        <w:t>4</w:t>
      </w:r>
      <w:r w:rsidR="001F78A9" w:rsidRPr="00415C84">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1F78A9" w:rsidRDefault="001F78A9" w:rsidP="001F78A9">
      <w:pPr>
        <w:ind w:left="420" w:hanging="420"/>
        <w:jc w:val="both"/>
        <w:rPr>
          <w:rFonts w:ascii="Arial" w:hAnsi="Arial" w:cs="Arial"/>
          <w:bCs/>
          <w:sz w:val="22"/>
          <w:szCs w:val="22"/>
        </w:rPr>
      </w:pPr>
    </w:p>
    <w:p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rsidTr="001F78A9">
        <w:tc>
          <w:tcPr>
            <w:tcW w:w="9060" w:type="dxa"/>
            <w:shd w:val="clear" w:color="auto" w:fill="auto"/>
          </w:tcPr>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t>ISSUED BY</w:t>
            </w:r>
            <w:r w:rsidRPr="0088626B">
              <w:rPr>
                <w:rFonts w:ascii="Arial" w:hAnsi="Arial" w:cs="Arial"/>
                <w:sz w:val="22"/>
                <w:szCs w:val="22"/>
              </w:rPr>
              <w:t>: (Procurement Authority / Name of Institution):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3" w:history="1">
              <w:r w:rsidRPr="00486562">
                <w:rPr>
                  <w:rStyle w:val="Hyperlink"/>
                  <w:rFonts w:ascii="Arial" w:hAnsi="Arial" w:cs="Arial"/>
                  <w:sz w:val="22"/>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p>
          <w:p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046944">
              <w:rPr>
                <w:rFonts w:ascii="Arial" w:hAnsi="Arial" w:cs="Arial"/>
                <w:sz w:val="22"/>
                <w:szCs w:val="22"/>
              </w:rPr>
              <w:t>4</w:t>
            </w:r>
            <w:r w:rsidRPr="0088626B">
              <w:rPr>
                <w:rFonts w:ascii="Arial" w:hAnsi="Arial" w:cs="Arial"/>
                <w:sz w:val="22"/>
                <w:szCs w:val="22"/>
              </w:rPr>
              <w:t xml:space="preserve"> of the Preferential Procurement Regulations, 201</w:t>
            </w:r>
            <w:r w:rsidR="00046944">
              <w:rPr>
                <w:rFonts w:ascii="Arial" w:hAnsi="Arial" w:cs="Arial"/>
                <w:sz w:val="22"/>
                <w:szCs w:val="22"/>
              </w:rPr>
              <w:t>7</w:t>
            </w:r>
            <w:r w:rsidRPr="0088626B">
              <w:rPr>
                <w:rFonts w:ascii="Arial" w:hAnsi="Arial" w:cs="Arial"/>
                <w:sz w:val="22"/>
                <w:szCs w:val="22"/>
              </w:rPr>
              <w:t xml:space="preserve"> 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tc>
      </w:tr>
    </w:tbl>
    <w:p w:rsidR="001F78A9" w:rsidRPr="00B83167" w:rsidRDefault="001F78A9" w:rsidP="001F78A9">
      <w:pPr>
        <w:rPr>
          <w:rFonts w:ascii="Arial" w:hAnsi="Arial" w:cs="Arial"/>
          <w:sz w:val="22"/>
          <w:szCs w:val="22"/>
          <w:lang w:val="en-US"/>
        </w:rPr>
      </w:pPr>
    </w:p>
    <w:p w:rsidR="007F24F4" w:rsidRDefault="007F24F4"/>
    <w:sectPr w:rsidR="007F24F4" w:rsidSect="001F78A9">
      <w:footerReference w:type="even" r:id="rId14"/>
      <w:footerReference w:type="default" r:id="rId15"/>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8B" w:rsidRDefault="003A698B">
      <w:r>
        <w:separator/>
      </w:r>
    </w:p>
  </w:endnote>
  <w:endnote w:type="continuationSeparator" w:id="0">
    <w:p w:rsidR="003A698B" w:rsidRDefault="003A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98B">
      <w:rPr>
        <w:rStyle w:val="PageNumber"/>
        <w:noProof/>
      </w:rPr>
      <w:t>1</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8B" w:rsidRDefault="003A698B">
      <w:r>
        <w:separator/>
      </w:r>
    </w:p>
  </w:footnote>
  <w:footnote w:type="continuationSeparator" w:id="0">
    <w:p w:rsidR="003A698B" w:rsidRDefault="003A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15:restartNumberingAfterBreak="0">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trackedChange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9"/>
    <w:rsid w:val="00032EC1"/>
    <w:rsid w:val="00046944"/>
    <w:rsid w:val="00074952"/>
    <w:rsid w:val="000C498B"/>
    <w:rsid w:val="000D6909"/>
    <w:rsid w:val="00172385"/>
    <w:rsid w:val="00193CFF"/>
    <w:rsid w:val="001A3322"/>
    <w:rsid w:val="001F21D0"/>
    <w:rsid w:val="001F35B2"/>
    <w:rsid w:val="001F78A9"/>
    <w:rsid w:val="00247F9D"/>
    <w:rsid w:val="002D7000"/>
    <w:rsid w:val="00342CB5"/>
    <w:rsid w:val="003A698B"/>
    <w:rsid w:val="00415C84"/>
    <w:rsid w:val="00445262"/>
    <w:rsid w:val="004606B4"/>
    <w:rsid w:val="00475901"/>
    <w:rsid w:val="00592E3B"/>
    <w:rsid w:val="007F24F4"/>
    <w:rsid w:val="008229E6"/>
    <w:rsid w:val="008A35F6"/>
    <w:rsid w:val="008E061E"/>
    <w:rsid w:val="0090656F"/>
    <w:rsid w:val="009267C5"/>
    <w:rsid w:val="0094262B"/>
    <w:rsid w:val="00955FA4"/>
    <w:rsid w:val="00963D43"/>
    <w:rsid w:val="00A91B01"/>
    <w:rsid w:val="00B24EA2"/>
    <w:rsid w:val="00C061F2"/>
    <w:rsid w:val="00CF4607"/>
    <w:rsid w:val="00CF4DCD"/>
    <w:rsid w:val="00D004DE"/>
    <w:rsid w:val="00D02411"/>
    <w:rsid w:val="00DE5AE8"/>
    <w:rsid w:val="00DF1062"/>
    <w:rsid w:val="00E36314"/>
    <w:rsid w:val="00E849BF"/>
    <w:rsid w:val="00EC2FF8"/>
    <w:rsid w:val="00F13697"/>
    <w:rsid w:val="00F36DBD"/>
    <w:rsid w:val="00F85955"/>
    <w:rsid w:val="00FA192A"/>
    <w:rsid w:val="00FC4D2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55FCCAA"/>
  <w15:docId w15:val="{7D6879FD-5BC3-4E25-9082-A6ADCF62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dti.gov.za/industrial%20development/ip.js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rvebank.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69D41D382134682A154EE57E45F00" ma:contentTypeVersion="0" ma:contentTypeDescription="Create a new document." ma:contentTypeScope="" ma:versionID="bebcb95b43bbb17b9f63d95ad01379a9">
  <xsd:schema xmlns:xsd="http://www.w3.org/2001/XMLSchema" xmlns:xs="http://www.w3.org/2001/XMLSchema" xmlns:p="http://schemas.microsoft.com/office/2006/metadata/properties" targetNamespace="http://schemas.microsoft.com/office/2006/metadata/properties" ma:root="true" ma:fieldsID="f28d89f78009691a57185fe02a1b5e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2.xml><?xml version="1.0" encoding="utf-8"?>
<ds:datastoreItem xmlns:ds="http://schemas.openxmlformats.org/officeDocument/2006/customXml" ds:itemID="{8FF3E5BA-9B2B-41FC-B85C-02682D12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3274C-C5EE-4C44-BB66-23800BEA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SBD 6.2 Local Content in terms of PPR 2017</vt:lpstr>
    </vt:vector>
  </TitlesOfParts>
  <Company>Microsoft</Company>
  <LinksUpToDate>false</LinksUpToDate>
  <CharactersWithSpaces>8087</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6.2 Local Content in terms of PPR 2017</dc:title>
  <dc:creator>Jacques Engelbrecht</dc:creator>
  <cp:lastModifiedBy>Refilwe Molapo</cp:lastModifiedBy>
  <cp:revision>3</cp:revision>
  <cp:lastPrinted>2015-04-28T08:11:00Z</cp:lastPrinted>
  <dcterms:created xsi:type="dcterms:W3CDTF">2021-03-11T14:18:00Z</dcterms:created>
  <dcterms:modified xsi:type="dcterms:W3CDTF">2021-03-26T07:34:00Z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0x0101000F869D41D382134682A154EE57E45F00</vt:lpwstr>
  </property>
  <property fmtid="{D5CDD505-2E9C-101B-9397-08002B2CF9AE}" pid="3" name="_dlc_DocIdItemGuid">
    <vt:lpwstr>1df72780-92a7-4d93-bb68-8c49cc68e8eb</vt:lpwstr>
  </property>
</Properties>
</file>